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3565 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6"/>
          <w:szCs w:val="26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ИК №11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УФСИН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Ханты-Мансийскому автономному округу-Югре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</w:rPr>
        <w:t>8602017535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Вяткину Дмитрию Валерьевичу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1rplc-5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2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3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озмещении </w:t>
      </w:r>
      <w:r>
        <w:rPr>
          <w:rFonts w:ascii="Times New Roman" w:eastAsia="Times New Roman" w:hAnsi="Times New Roman" w:cs="Times New Roman"/>
          <w:sz w:val="28"/>
          <w:szCs w:val="28"/>
        </w:rPr>
        <w:t>ущерба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ФКУ ИК №11 УФСИН России по Ханты-Мансийскому автономному округу-Югре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Вяткину Дмитрию Валерьевичу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озмещении </w:t>
      </w:r>
      <w:r>
        <w:rPr>
          <w:rFonts w:ascii="Times New Roman" w:eastAsia="Times New Roman" w:hAnsi="Times New Roman" w:cs="Times New Roman"/>
          <w:sz w:val="28"/>
          <w:szCs w:val="28"/>
        </w:rPr>
        <w:t>ущерба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Вяткин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Валерьевич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ФКУ ИК №11 УФСИН России по Ханты-Мансийскому автономному округу-Югре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11817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 39 </w:t>
      </w:r>
      <w:r>
        <w:rPr>
          <w:rFonts w:ascii="Times New Roman" w:eastAsia="Times New Roman" w:hAnsi="Times New Roman" w:cs="Times New Roman"/>
          <w:sz w:val="28"/>
          <w:szCs w:val="28"/>
        </w:rPr>
        <w:t>копеек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возмещени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ущерба.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Вяткина Дмитрия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государственную пошл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4000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доход местного бюджета.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течение одного месяца по истечении срока подачи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й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 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 ХМАО-Югры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10.07.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-3565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/з </w:t>
      </w: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1rplc-5">
    <w:name w:val="cat-PassportData grp-11 rplc-5"/>
    <w:basedOn w:val="DefaultParagraphFont"/>
  </w:style>
  <w:style w:type="character" w:customStyle="1" w:styleId="cat-ExternalSystemDefinedgrp-12rplc-6">
    <w:name w:val="cat-ExternalSystemDefined grp-12 rplc-6"/>
    <w:basedOn w:val="DefaultParagraphFont"/>
  </w:style>
  <w:style w:type="character" w:customStyle="1" w:styleId="cat-ExternalSystemDefinedgrp-13rplc-7">
    <w:name w:val="cat-ExternalSystemDefined grp-13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